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rPr>
      </w:pPr>
      <w:r>
        <w:rPr>
          <w:rFonts w:hint="eastAsia"/>
        </w:rPr>
        <w:drawing>
          <wp:anchor distT="0" distB="0" distL="203200" distR="203200" simplePos="0" relativeHeight="4" behindDoc="1" locked="0" layoutInCell="1" hidden="0" allowOverlap="1">
            <wp:simplePos x="0" y="0"/>
            <wp:positionH relativeFrom="column">
              <wp:posOffset>0</wp:posOffset>
            </wp:positionH>
            <wp:positionV relativeFrom="paragraph">
              <wp:posOffset>-401320</wp:posOffset>
            </wp:positionV>
            <wp:extent cx="2838450" cy="25717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838450" cy="257175"/>
                    </a:xfrm>
                    <a:prstGeom prst="rect">
                      <a:avLst/>
                    </a:prstGeom>
                  </pic:spPr>
                </pic:pic>
              </a:graphicData>
            </a:graphic>
          </wp:anchor>
        </w:drawing>
      </w:r>
      <w:r>
        <w:rPr>
          <w:rFonts w:hint="eastAsia"/>
        </w:rPr>
        <w:drawing>
          <wp:anchor distT="0" distB="0" distL="203200" distR="203200" simplePos="0" relativeHeight="5" behindDoc="1" locked="0" layoutInCell="1" hidden="0" allowOverlap="1">
            <wp:simplePos x="0" y="0"/>
            <wp:positionH relativeFrom="column">
              <wp:posOffset>2875280</wp:posOffset>
            </wp:positionH>
            <wp:positionV relativeFrom="paragraph">
              <wp:posOffset>-401320</wp:posOffset>
            </wp:positionV>
            <wp:extent cx="2838450" cy="25717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838450" cy="257175"/>
                    </a:xfrm>
                    <a:prstGeom prst="rect">
                      <a:avLst/>
                    </a:prstGeom>
                  </pic:spPr>
                </pic:pic>
              </a:graphicData>
            </a:graphic>
          </wp:anchor>
        </w:drawing>
      </w:r>
      <w:bookmarkStart w:id="0" w:name="_GoBack"/>
      <w:bookmarkEnd w:id="0"/>
      <w:r>
        <w:rPr>
          <w:rFonts w:hint="eastAsia" w:ascii="AR P丸ゴシック体E" w:hAnsi="AR P丸ゴシック体E" w:eastAsia="AR P丸ゴシック体E"/>
          <w:b w:val="1"/>
          <w:sz w:val="64"/>
        </w:rPr>
        <w:t>曽於市初回産科受診料助成事業</w:t>
      </w:r>
    </w:p>
    <w:p>
      <w:pPr>
        <w:pStyle w:val="0"/>
        <w:jc w:val="center"/>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-339725</wp:posOffset>
                </wp:positionH>
                <wp:positionV relativeFrom="paragraph">
                  <wp:posOffset>79375</wp:posOffset>
                </wp:positionV>
                <wp:extent cx="6610350" cy="7620000"/>
                <wp:effectExtent l="38735" t="38735" r="48895" b="39370"/>
                <wp:wrapNone/>
                <wp:docPr id="1028" name="オブジェクト 0"/>
                <a:graphic xmlns:a="http://schemas.openxmlformats.org/drawingml/2006/main">
                  <a:graphicData uri="http://schemas.microsoft.com/office/word/2010/wordprocessingShape">
                    <wps:wsp>
                      <wps:cNvPr id="1028" name="オブジェクト 0"/>
                      <wps:cNvSpPr/>
                      <wps:spPr>
                        <a:xfrm>
                          <a:off x="0" y="0"/>
                          <a:ext cx="6610350" cy="7620000"/>
                        </a:xfrm>
                        <a:prstGeom prst="roundRect">
                          <a:avLst/>
                        </a:prstGeom>
                        <a:noFill/>
                        <a:ln w="76200" cap="flat" cmpd="sng" algn="ctr">
                          <a:solidFill>
                            <a:srgbClr val="FFA6A6"/>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6.25pt;mso-position-vertical-relative:text;mso-position-horizontal-relative:text;position:absolute;height:600pt;mso-wrap-distance-top:0pt;width:520.5pt;mso-wrap-distance-left:16pt;margin-left:-26.75pt;z-index:-503316478;" o:spid="_x0000_s1028" o:allowincell="t" o:allowoverlap="t" filled="f" stroked="t" strokecolor="#ffa6a6" strokeweight="6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210" w:hanging="210" w:hanging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rPr>
        <w:t>　　</w:t>
      </w:r>
    </w:p>
    <w:p>
      <w:pPr>
        <w:pStyle w:val="0"/>
        <w:ind w:left="210" w:leftChars="100"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曽於市では、妊娠判定を受ける低所得の妊婦に対して、初回の産科受診に要する費用の一部を助成しています。</w:t>
      </w:r>
    </w:p>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sz w:val="24"/>
        </w:rPr>
        <w:t>対象者</w:t>
      </w:r>
      <w:r>
        <w:rPr>
          <w:rFonts w:hint="eastAsia" w:ascii="HG丸ｺﾞｼｯｸM-PRO" w:hAnsi="HG丸ｺﾞｼｯｸM-PRO" w:eastAsia="HG丸ｺﾞｼｯｸM-PRO"/>
          <w:sz w:val="24"/>
        </w:rPr>
        <w:t>〉</w:t>
      </w:r>
    </w:p>
    <w:p>
      <w:pPr>
        <w:pStyle w:val="0"/>
        <w:ind w:left="207" w:leftChars="-99" w:hanging="415" w:hangingChars="173"/>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妊娠判定のため産科受診する日において、市内に住所があり、次のいずれかに該当する方</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①市民税非課税世帯に属する方</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②生活保護法による被保護者である方</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sz w:val="24"/>
        </w:rPr>
        <w:t>対象となる受診項目</w:t>
      </w:r>
      <w:r>
        <w:rPr>
          <w:rFonts w:hint="eastAsia" w:ascii="HG丸ｺﾞｼｯｸM-PRO" w:hAnsi="HG丸ｺﾞｼｯｸM-PRO" w:eastAsia="HG丸ｺﾞｼｯｸM-PRO"/>
          <w:sz w:val="24"/>
        </w:rPr>
        <w:t>〉</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妊娠判定のため、問診・診察、尿検査及び超音波検査等の受診項目。</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sz w:val="24"/>
        </w:rPr>
        <w:t>助成額及び期間</w:t>
      </w:r>
      <w:r>
        <w:rPr>
          <w:rFonts w:hint="eastAsia" w:ascii="HG丸ｺﾞｼｯｸM-PRO" w:hAnsi="HG丸ｺﾞｼｯｸM-PRO" w:eastAsia="HG丸ｺﾞｼｯｸM-PRO"/>
          <w:sz w:val="24"/>
        </w:rPr>
        <w:t>〉</w: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受診</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回あたりに</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万円を限度とし、同一年度につき</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回を限度とします。</w: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ただし、申請は初回の産科受診のあった日の翌日から</w:t>
      </w:r>
      <w:r>
        <w:rPr>
          <w:rFonts w:hint="eastAsia" w:ascii="HG丸ｺﾞｼｯｸM-PRO" w:hAnsi="HG丸ｺﾞｼｯｸM-PRO" w:eastAsia="HG丸ｺﾞｼｯｸM-PRO"/>
          <w:sz w:val="24"/>
        </w:rPr>
        <w:t>6</w:t>
      </w:r>
      <w:r>
        <w:rPr>
          <w:rFonts w:hint="eastAsia" w:ascii="HG丸ｺﾞｼｯｸM-PRO" w:hAnsi="HG丸ｺﾞｼｯｸM-PRO" w:eastAsia="HG丸ｺﾞｼｯｸM-PRO"/>
          <w:sz w:val="24"/>
        </w:rPr>
        <w:t>か月以内とします。</w:t>
      </w: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sz w:val="24"/>
        </w:rPr>
        <w:t>申請に必要な書類</w:t>
      </w:r>
      <w:r>
        <w:rPr>
          <w:rFonts w:hint="eastAsia" w:ascii="HG丸ｺﾞｼｯｸM-PRO" w:hAnsi="HG丸ｺﾞｼｯｸM-PRO" w:eastAsia="HG丸ｺﾞｼｯｸM-PRO"/>
          <w:sz w:val="24"/>
        </w:rPr>
        <w:t>〉</w: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①初回産科受診料助成金交付申請書兼請求書（様式第</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号）</w: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②妊娠判定を実施した医療機関が発行する領収書及び診療明細書</w: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③市民税非課税世帯もしくは生活保護法による被保護者であることを証明する書類</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left="0" w:leftChars="0" w:firstLine="0" w:firstLineChars="0"/>
        <w:jc w:val="left"/>
        <w:rPr>
          <w:rFonts w:hint="eastAsia" w:ascii="HG丸ｺﾞｼｯｸM-PRO" w:hAnsi="HG丸ｺﾞｼｯｸM-PRO" w:eastAsia="HG丸ｺﾞｼｯｸM-PRO"/>
          <w:sz w:val="24"/>
        </w:rPr>
      </w:pPr>
    </w:p>
    <w:p>
      <w:pPr>
        <w:pStyle w:val="0"/>
        <w:ind w:firstLine="240" w:firstLineChars="100"/>
        <w:jc w:val="left"/>
        <w:rPr>
          <w:rFonts w:hint="eastAsia" w:ascii="HG丸ｺﾞｼｯｸM-PRO" w:hAnsi="HG丸ｺﾞｼｯｸM-PRO" w:eastAsia="HG丸ｺﾞｼｯｸM-PRO"/>
          <w:sz w:val="24"/>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26670</wp:posOffset>
                </wp:positionH>
                <wp:positionV relativeFrom="paragraph">
                  <wp:posOffset>117475</wp:posOffset>
                </wp:positionV>
                <wp:extent cx="5848350" cy="7143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848350" cy="714375"/>
                        </a:xfrm>
                        <a:prstGeom prst="flowChartProcess">
                          <a:avLst/>
                        </a:prstGeom>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9.25pt;mso-position-vertical-relative:text;mso-position-horizontal-relative:text;position:absolute;height:56.25pt;mso-wrap-distance-top:0pt;width:460.5pt;mso-wrap-distance-left:16pt;margin-left:2.1pt;z-index:-503316477;" o:spid="_x0000_s1029" o:allowincell="t" o:allowoverlap="t" filled="t" fillcolor="#ffffff [3201]" stroked="t" strokecolor="#ed7d31 [3205]" strokeweight="1pt" o:spt="109" type="#_x0000_t109">
                <v:fill/>
                <v:stroke linestyle="single" miterlimit="8" endcap="flat" dashstyle="solid" filltype="solid"/>
                <v:textbox style="layout-flow:horizontal;"/>
                <v:imagedata o:title=""/>
                <w10:wrap type="none" anchorx="text" anchory="text"/>
              </v:shape>
            </w:pict>
          </mc:Fallback>
        </mc:AlternateContent>
      </w:r>
    </w:p>
    <w:p>
      <w:pPr>
        <w:pStyle w:val="0"/>
        <w:ind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【問合せ先】　曽於市役所こども未来課子育て応援係（南棟</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階③番窓口）</w:t>
      </w:r>
    </w:p>
    <w:p>
      <w:pPr>
        <w:pStyle w:val="0"/>
        <w:ind w:firstLine="4800" w:firstLineChars="20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電話</w:t>
      </w:r>
      <w:r>
        <w:rPr>
          <w:rFonts w:hint="eastAsia" w:ascii="HG丸ｺﾞｼｯｸM-PRO" w:hAnsi="HG丸ｺﾞｼｯｸM-PRO" w:eastAsia="HG丸ｺﾞｼｯｸM-PRO"/>
          <w:sz w:val="24"/>
        </w:rPr>
        <w:t>0986-76-1734</w:t>
      </w:r>
      <w:r>
        <w:rPr>
          <w:rFonts w:hint="eastAsia" w:ascii="HG丸ｺﾞｼｯｸM-PRO" w:hAnsi="HG丸ｺﾞｼｯｸM-PRO" w:eastAsia="HG丸ｺﾞｼｯｸM-PRO"/>
          <w:sz w:val="24"/>
        </w:rPr>
        <w:t>（直通）</w:t>
      </w:r>
    </w:p>
    <w:p>
      <w:pPr>
        <w:pStyle w:val="0"/>
        <w:ind w:firstLine="210" w:firstLineChars="100"/>
        <w:jc w:val="left"/>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sectPr>
      <w:pgSz w:w="11906" w:h="16838"/>
      <w:pgMar w:top="1440" w:right="1191" w:bottom="1440" w:left="119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0149工藤恵美硅慰摮汁䡬慥楤杮s</dc:creator>
  <cp:lastModifiedBy>0149工藤恵美</cp:lastModifiedBy>
  <cp:lastPrinted>2024-03-18T06:29:44Z</cp:lastPrinted>
  <dcterms:created xsi:type="dcterms:W3CDTF">2024-02-14T01:51:00Z</dcterms:created>
  <dcterms:modified xsi:type="dcterms:W3CDTF">2024-03-22T00:46:31Z</dcterms:modified>
  <cp:revision>5</cp:revision>
</cp:coreProperties>
</file>